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>
        <w:trPr>
          <w:trHeight w:val="1199"/>
        </w:trPr>
        <w:tc>
          <w:tcPr>
            <w:tcW w:w="966" w:type="dxa"/>
            <w:textDirection w:val="lrTb"/>
            <w:noWrap w:val="false"/>
          </w:tcPr>
          <w:p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 xml:space="preserve">    </w:t>
            </w:r>
            <w:r>
              <w:rPr>
                <w:rFonts w:ascii="Times New Roman" w:hAnsi="Times New Roman" w:cs="Times New Roman" w:eastAsia="Arial"/>
                <w:position w:val="-7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125730</wp:posOffset>
                      </wp:positionV>
                      <wp:extent cx="412750" cy="497205"/>
                      <wp:effectExtent l="0" t="0" r="6350" b="0"/>
                      <wp:wrapThrough wrapText="bothSides">
                        <wp:wrapPolygon edited="1">
                          <wp:start x="0" y="0"/>
                          <wp:lineTo x="0" y="20690"/>
                          <wp:lineTo x="20935" y="20690"/>
                          <wp:lineTo x="20935" y="0"/>
                          <wp:lineTo x="0" y="0"/>
                        </wp:wrapPolygon>
                      </wp:wrapThrough>
                      <wp:docPr id="1" name="Рисунок 2" descr="Товарный 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Товарный 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2750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5.0pt;mso-position-horizontal:absolute;mso-position-vertical-relative:text;margin-top:9.9pt;mso-position-vertical:absolute;width:32.5pt;height:39.1pt;" wrapcoords="0 0 0 95787 96921 95787 96921 0 0 0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966" w:type="dxa"/>
            <w:textDirection w:val="lrTb"/>
            <w:noWrap w:val="false"/>
          </w:tcPr>
          <w:p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471805" cy="471805"/>
                      <wp:effectExtent l="0" t="0" r="4445" b="4445"/>
                      <wp:wrapThrough wrapText="bothSides">
                        <wp:wrapPolygon edited="1">
                          <wp:start x="0" y="0"/>
                          <wp:lineTo x="0" y="20931"/>
                          <wp:lineTo x="20931" y="20931"/>
                          <wp:lineTo x="20931" y="0"/>
                          <wp:lineTo x="0" y="0"/>
                        </wp:wrapPolygon>
                      </wp:wrapThrough>
                      <wp:docPr id="2" name="Рисунок 1" descr="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1805" cy="47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text;margin-left:-5.1pt;mso-position-horizontal:absolute;mso-position-vertical-relative:text;margin-top:10.0pt;mso-position-vertical:absolute;width:37.1pt;height:37.1pt;" wrapcoords="0 0 0 96903 96903 96903 96903 0 0 0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5446" w:type="dxa"/>
            <w:textDirection w:val="lrTb"/>
            <w:noWrap w:val="false"/>
          </w:tcPr>
          <w:p>
            <w:pPr>
              <w:ind w:left="306"/>
              <w:spacing w:before="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Ашасветотехника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</w:t>
            </w:r>
            <w:r/>
          </w:p>
          <w:p>
            <w:pPr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Челябинская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Аша,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д. 2 </w:t>
            </w:r>
            <w:r/>
          </w:p>
          <w:p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(35159) 3-14-73</w:t>
            </w:r>
            <w:r/>
          </w:p>
          <w:p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11" w:tooltip="mailto:info@ashasvet.ru" w:history="1">
              <w:r>
                <w:rPr>
                  <w:rStyle w:val="60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info</w:t>
              </w:r>
              <w:r>
                <w:rPr>
                  <w:rStyle w:val="60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@</w:t>
              </w:r>
              <w:r>
                <w:rPr>
                  <w:rStyle w:val="60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ashasvet</w:t>
              </w:r>
              <w:r>
                <w:rPr>
                  <w:rStyle w:val="60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.</w:t>
              </w:r>
              <w:r>
                <w:rPr>
                  <w:rStyle w:val="60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ru</w:t>
              </w:r>
            </w:hyperlink>
            <w:r/>
            <w:r/>
          </w:p>
          <w:p>
            <w:p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ashasvet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</w:t>
            </w:r>
            <w:r/>
          </w:p>
        </w:tc>
      </w:tr>
    </w:tbl>
    <w:p>
      <w:pPr>
        <w:spacing w:before="1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rPr>
          <w:rFonts w:ascii="Times New Roman" w:hAnsi="Times New Roman" w:cs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cs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98770" cy="2568575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39877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25.1pt;height:202.2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</w:r>
      <w:r/>
    </w:p>
    <w:p>
      <w:pPr>
        <w:rPr>
          <w:rFonts w:ascii="Times New Roman" w:hAnsi="Times New Roman" w:cs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</w:r>
      <w:r/>
    </w:p>
    <w:p>
      <w:pPr>
        <w:ind w:left="1985" w:right="2004"/>
        <w:jc w:val="center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ПАСПОРТ</w:t>
      </w:r>
      <w:r/>
    </w:p>
    <w:p>
      <w:pPr>
        <w:pStyle w:val="599"/>
        <w:ind w:left="0" w:right="2004"/>
        <w:jc w:val="center"/>
        <w:spacing w:before="11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Светильник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ДПП12</w:t>
      </w:r>
      <w:r/>
    </w:p>
    <w:p>
      <w:pPr>
        <w:pStyle w:val="599"/>
        <w:ind w:left="0" w:right="2004"/>
        <w:spacing w:before="11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/>
    </w:p>
    <w:p>
      <w:pPr>
        <w:rPr>
          <w:rFonts w:ascii="Times New Roman" w:hAnsi="Times New Roman" w:cs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</w:r>
      <w:r/>
    </w:p>
    <w:p>
      <w:pPr>
        <w:ind w:right="132"/>
        <w:jc w:val="center"/>
        <w:spacing w:line="48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ind w:right="132"/>
        <w:jc w:val="center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right="132"/>
        <w:jc w:val="center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2014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ДБИШ.676112.001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</w:t>
      </w:r>
      <w:r/>
    </w:p>
    <w:tbl>
      <w:tblPr>
        <w:tblStyle w:val="605"/>
        <w:tblW w:w="0" w:type="auto"/>
        <w:jc w:val="center"/>
        <w:tblInd w:w="5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3514"/>
        <w:gridCol w:w="3560"/>
      </w:tblGrid>
      <w:tr>
        <w:trPr>
          <w:jc w:val="center"/>
        </w:trPr>
        <w:tc>
          <w:tcPr>
            <w:gridSpan w:val="2"/>
            <w:tcBorders>
              <w:top w:val="single" w:color="auto" w:sz="8" w:space="0"/>
              <w:bottom w:val="single" w:color="auto" w:sz="8" w:space="0"/>
            </w:tcBorders>
            <w:tcW w:w="7074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Исполнение мощностей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8" w:space="0"/>
            </w:tcBorders>
            <w:tcW w:w="3514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auto" w:sz="8" w:space="0"/>
            </w:tcBorders>
            <w:tcW w:w="3560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4</w:t>
            </w:r>
            <w:r/>
          </w:p>
        </w:tc>
      </w:tr>
    </w:tbl>
    <w:p>
      <w:pPr>
        <w:jc w:val="both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tbl>
      <w:tblPr>
        <w:tblStyle w:val="605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948"/>
      </w:tblGrid>
      <w:tr>
        <w:trPr>
          <w:jc w:val="center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58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Вторичная оптика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2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2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Arial"/>
                <w:sz w:val="28"/>
                <w:szCs w:val="28"/>
                <w:lang w:val="ru-RU"/>
              </w:rPr>
              <w:t xml:space="preserve">1</w:t>
            </w:r>
            <w:r/>
          </w:p>
        </w:tc>
      </w:tr>
    </w:tbl>
    <w:p>
      <w:pPr>
        <w:ind w:right="132"/>
        <w:jc w:val="center"/>
        <w:spacing w:line="480" w:lineRule="auto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426" w:right="424"/>
        <w:spacing w:before="77"/>
        <w:tabs>
          <w:tab w:val="left" w:pos="213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</w:t>
      </w:r>
      <w:r/>
    </w:p>
    <w:p>
      <w:pPr>
        <w:pStyle w:val="609"/>
        <w:ind w:right="424"/>
        <w:jc w:val="center"/>
        <w:spacing w:before="55"/>
        <w:tabs>
          <w:tab w:val="left" w:pos="3599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pStyle w:val="609"/>
        <w:ind w:left="425" w:right="142"/>
        <w:jc w:val="both"/>
        <w:tabs>
          <w:tab w:val="left" w:pos="3599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pStyle w:val="607"/>
        <w:ind w:left="425" w:right="142" w:firstLine="850"/>
        <w:jc w:val="both"/>
        <w:spacing w:line="360" w:lineRule="auto"/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Светильник п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редназначен для подсветки пульта кабины машиниста в 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тепловоз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ах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, электровоз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ах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, электропоезд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ах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, автомотрис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ах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 и др. 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вид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ах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 ж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/д транспорта</w:t>
      </w: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.</w:t>
      </w:r>
      <w:r/>
    </w:p>
    <w:p>
      <w:pPr>
        <w:pStyle w:val="607"/>
        <w:ind w:left="425" w:right="142" w:firstLine="850"/>
        <w:jc w:val="both"/>
        <w:spacing w:line="360" w:lineRule="auto"/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color w:val="181716"/>
          <w:sz w:val="28"/>
          <w:szCs w:val="28"/>
          <w:lang w:val="ru-RU"/>
        </w:rPr>
        <w:t xml:space="preserve">Корпус светильника изготовлен из алюминиевого сплава. Защитное стекло из ударопрочного поликарбоната обеспечивает высокую механическую прочность. Светодиодный источник света гарантирует долгий срок службы светильника и обладает низким энергопотреблением.</w:t>
      </w:r>
      <w:r/>
    </w:p>
    <w:p>
      <w:pPr>
        <w:pStyle w:val="607"/>
        <w:ind w:left="425" w:right="142" w:firstLine="850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Светильники соответствуют техническим регламентам Таможенного союза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004/2011) "О безопасности низковольтного оборудования" и                   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требованиям ГОСТ 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60598-1-201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ГОСТ 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60598-2-1-2011,                    ГОСТ 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60598-2-3-201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ГОСТ 30804.3.2-2013 (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61000-3-2:2009),           ГОСТ 30804.3.3-2013 (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6100-3-3:2008), ГОСТ </w:t>
      </w:r>
      <w:r>
        <w:rPr>
          <w:rFonts w:ascii="Times New Roman" w:hAnsi="Times New Roman" w:cs="Times New Roman"/>
          <w:sz w:val="28"/>
          <w:szCs w:val="28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61547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 CISPR 15-2014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/>
    </w:p>
    <w:p>
      <w:pPr>
        <w:pStyle w:val="607"/>
        <w:ind w:left="425" w:right="142" w:firstLine="850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Сертификат соответствия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ЕАЭС RU C-RU.НВ26.В.00035/19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0" w:right="20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0" w:right="20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0" w:right="20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pStyle w:val="607"/>
        <w:ind w:left="0" w:right="20" w:firstLine="425"/>
        <w:jc w:val="both"/>
        <w:spacing w:before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tabs>
          <w:tab w:val="left" w:pos="869" w:leader="none"/>
          <w:tab w:val="left" w:pos="262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Технические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характеристики:</w:t>
      </w:r>
      <w:r/>
    </w:p>
    <w:tbl>
      <w:tblPr>
        <w:tblStyle w:val="605"/>
        <w:tblpPr w:horzAnchor="margin" w:tblpX="148" w:vertAnchor="text" w:tblpY="152" w:leftFromText="180" w:topFromText="0" w:rightFromText="180" w:bottomFromText="0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118"/>
        <w:gridCol w:w="3119"/>
      </w:tblGrid>
      <w:tr>
        <w:trPr>
          <w:trHeight w:val="270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Исполнение мощностей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</w:t>
            </w:r>
            <w:r/>
          </w:p>
        </w:tc>
      </w:tr>
      <w:tr>
        <w:trPr>
          <w:trHeight w:val="261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Потребляемая мощность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(±5%)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Диапазон переменного напряжения,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70-110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AC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DC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Частота напряжения питания,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Гц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-60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ind w:left="57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Коэффициент мощности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&gt;0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5</w:t>
            </w:r>
            <w:r/>
          </w:p>
        </w:tc>
      </w:tr>
      <w:tr>
        <w:trPr>
          <w:trHeight w:val="392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pStyle w:val="615"/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Допустимая температура окружающей среды светильника: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textDirection w:val="lrTb"/>
            <w:noWrap w:val="false"/>
          </w:tcPr>
          <w:p>
            <w:pPr>
              <w:pStyle w:val="615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pStyle w:val="615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+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0ºС</w:t>
            </w:r>
            <w:r/>
          </w:p>
          <w:p>
            <w:pPr>
              <w:pStyle w:val="615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Степень защиты оболочки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IP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Ресурс работы,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ч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&gt;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0 000</w:t>
            </w:r>
            <w:r/>
          </w:p>
        </w:tc>
      </w:tr>
      <w:tr>
        <w:trPr>
          <w:trHeight w:val="308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Классификация по пожарной безопасности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0733" cy="190733"/>
                      <wp:effectExtent l="0" t="0" r="0" b="0"/>
                      <wp:docPr id="4" name="Рисунок 44" descr="http://i64.fastpic.ru/big/2015/0217/e3/b6c38e2cb4094c5123e4ee985eba17e3.png?refresh=900&amp;resize_h=NaN&amp;resize_w=NaN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http://i64.fastpic.ru/big/2015/0217/e3/b6c38e2cb4094c5123e4ee985eba17e3.png?refresh=900&amp;resize_h=NaN&amp;resize_w=NaN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8594" cy="188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5.0pt;height:15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380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Класс защиты от поражения электрическим током по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ГОСТ 12.2.007.0-75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II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Угол излучения, градус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º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Марка светодиода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Shineon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Refond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Samsung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CRI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&gt;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0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Коррелированная цветовая температура,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</w:t>
            </w:r>
            <w:r/>
          </w:p>
        </w:tc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2700-6500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Коэффициент пульсации светового потока,%</w:t>
            </w:r>
            <w:r/>
          </w:p>
        </w:tc>
        <w:tc>
          <w:tcPr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&lt;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auto" w:sz="8" w:space="0"/>
              <w:right w:val="single" w:color="auto" w:sz="4" w:space="0"/>
            </w:tcBorders>
            <w:tcW w:w="1951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Световой поток, Лм прозрачный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рассеивател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150 Лм/Вт</w:t>
            </w:r>
            <w:r/>
          </w:p>
        </w:tc>
        <w:tc>
          <w:tcPr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300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auto" w:sz="8" w:space="0"/>
              <w:right w:val="single" w:color="auto" w:sz="4" w:space="0"/>
            </w:tcBorders>
            <w:tcW w:w="1951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140 Лм/Вт</w:t>
            </w:r>
            <w:r/>
          </w:p>
        </w:tc>
        <w:tc>
          <w:tcPr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280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560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auto" w:sz="8" w:space="0"/>
              <w:right w:val="single" w:color="auto" w:sz="4" w:space="0"/>
            </w:tcBorders>
            <w:tcW w:w="1951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130 Лм/Вт</w:t>
            </w:r>
            <w:r/>
          </w:p>
        </w:tc>
        <w:tc>
          <w:tcPr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</w:t>
            </w:r>
            <w:r/>
          </w:p>
        </w:tc>
        <w:tc>
          <w:tcPr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520</w:t>
            </w:r>
            <w:r/>
          </w:p>
        </w:tc>
      </w:tr>
      <w:tr>
        <w:trPr>
          <w:trHeight w:val="425"/>
        </w:trPr>
        <w:tc>
          <w:tcPr>
            <w:tcBorders>
              <w:top w:val="single" w:color="auto" w:sz="8" w:space="0"/>
              <w:left w:val="single" w:color="auto" w:sz="8" w:space="0"/>
            </w:tcBorders>
            <w:tcW w:w="1951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Световой поток, Лм матовый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рассеивател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ь</w:t>
            </w:r>
            <w:r/>
          </w:p>
        </w:tc>
        <w:tc>
          <w:tcPr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130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260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auto" w:sz="8" w:space="0"/>
            </w:tcBorders>
            <w:tcW w:w="1951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120 Лм/Вт</w:t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480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auto" w:sz="8" w:space="0"/>
            </w:tcBorders>
            <w:tcW w:w="1951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110 Лм/Вт</w:t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440</w:t>
            </w:r>
            <w:r/>
          </w:p>
        </w:tc>
      </w:tr>
      <w:tr>
        <w:trPr>
          <w:cantSplit/>
          <w:trHeight w:val="831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Габаритные размеры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ДхШхВ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, мм</w:t>
            </w:r>
            <w:r/>
          </w:p>
        </w:tc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209х16х14</w:t>
            </w:r>
            <w:r/>
          </w:p>
        </w:tc>
      </w:tr>
      <w:tr>
        <w:trPr>
          <w:trHeight w:val="155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5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Масса,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кг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 xml:space="preserve">6</w:t>
            </w:r>
            <w:r/>
          </w:p>
        </w:tc>
      </w:tr>
    </w:tbl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Расшифровка маркировки светильника:</w:t>
      </w:r>
      <w:r/>
    </w:p>
    <w:p>
      <w:pPr>
        <w:ind w:left="426"/>
        <w:spacing w:before="67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center"/>
        <w:spacing w:before="67" w:line="360" w:lineRule="auto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97295" cy="2337435"/>
                <wp:effectExtent l="0" t="0" r="0" b="0"/>
                <wp:docPr id="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297295" cy="233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95.8pt;height:184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before="67" w:line="360" w:lineRule="auto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spacing w:before="67" w:line="360" w:lineRule="auto"/>
        <w:tabs>
          <w:tab w:val="left" w:pos="869" w:leader="none"/>
          <w:tab w:val="left" w:pos="2094" w:leader="none"/>
        </w:tabs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    4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Комплектность поставки</w:t>
      </w:r>
      <w:r/>
    </w:p>
    <w:p>
      <w:pPr>
        <w:ind w:right="1"/>
        <w:jc w:val="center"/>
        <w:spacing w:line="360" w:lineRule="auto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r>
      <w:r/>
    </w:p>
    <w:tbl>
      <w:tblPr>
        <w:tblStyle w:val="605"/>
        <w:tblW w:w="7314" w:type="dxa"/>
        <w:tblInd w:w="534" w:type="dxa"/>
        <w:tblLook w:val="04A0" w:firstRow="1" w:lastRow="0" w:firstColumn="1" w:lastColumn="0" w:noHBand="0" w:noVBand="1"/>
      </w:tblPr>
      <w:tblGrid>
        <w:gridCol w:w="787"/>
        <w:gridCol w:w="4839"/>
        <w:gridCol w:w="1688"/>
      </w:tblGrid>
      <w:tr>
        <w:trPr>
          <w:trHeight w:val="227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787" w:type="dxa"/>
            <w:textDirection w:val="lrTb"/>
            <w:noWrap w:val="false"/>
          </w:tcPr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/п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4839" w:type="dxa"/>
            <w:textDirection w:val="lrTb"/>
            <w:noWrap w:val="false"/>
          </w:tcPr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Комплектующие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688" w:type="dxa"/>
            <w:textDirection w:val="lrTb"/>
            <w:noWrap w:val="false"/>
          </w:tcPr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шт</w:t>
            </w:r>
            <w:r/>
          </w:p>
        </w:tc>
      </w:tr>
      <w:tr>
        <w:trPr>
          <w:trHeight w:val="799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787" w:type="dxa"/>
            <w:textDirection w:val="lrTb"/>
            <w:noWrap w:val="false"/>
          </w:tcPr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1.</w:t>
            </w:r>
            <w:r/>
          </w:p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2.</w:t>
            </w:r>
            <w:r/>
          </w:p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.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4839" w:type="dxa"/>
            <w:textDirection w:val="lrTb"/>
            <w:noWrap w:val="false"/>
          </w:tcPr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Светильник</w:t>
            </w:r>
            <w:r/>
          </w:p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Паспорт на светильник</w:t>
            </w:r>
            <w:r/>
          </w:p>
          <w:p>
            <w:pPr>
              <w:ind w:right="1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Крепление светильника в зависимости от заказа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688" w:type="dxa"/>
            <w:textDirection w:val="lrTb"/>
            <w:noWrap w:val="false"/>
          </w:tcPr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1</w:t>
            </w:r>
            <w:r/>
          </w:p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1</w:t>
            </w:r>
            <w:r/>
          </w:p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1</w:t>
            </w:r>
            <w:r/>
          </w:p>
          <w:p>
            <w:pPr>
              <w:ind w:right="1"/>
              <w:jc w:val="center"/>
              <w:spacing w:line="36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</w:tc>
      </w:tr>
    </w:tbl>
    <w:p>
      <w:pPr>
        <w:pStyle w:val="613"/>
        <w:ind w:left="969" w:right="141" w:firstLine="0"/>
        <w:jc w:val="center"/>
        <w:spacing w:after="0" w:line="360" w:lineRule="auto"/>
        <w:shd w:val="clear" w:color="auto" w:fill="auto"/>
        <w:tabs>
          <w:tab w:val="left" w:pos="869" w:leader="none"/>
        </w:tabs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  <w:r/>
    </w:p>
    <w:p>
      <w:pPr>
        <w:pStyle w:val="613"/>
        <w:ind w:left="426" w:right="141" w:firstLine="0"/>
        <w:jc w:val="left"/>
        <w:spacing w:after="0" w:line="360" w:lineRule="auto"/>
        <w:shd w:val="clear" w:color="auto" w:fill="auto"/>
        <w:tabs>
          <w:tab w:val="left" w:pos="869" w:leader="none"/>
        </w:tabs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Срок службы. Гарантийные обязательства</w:t>
      </w:r>
      <w:r/>
    </w:p>
    <w:p>
      <w:pPr>
        <w:pStyle w:val="613"/>
        <w:ind w:left="969" w:right="141" w:firstLine="0"/>
        <w:jc w:val="center"/>
        <w:spacing w:after="0" w:line="360" w:lineRule="auto"/>
        <w:shd w:val="clear" w:color="auto" w:fill="auto"/>
        <w:tabs>
          <w:tab w:val="left" w:pos="869" w:leader="none"/>
        </w:tabs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  <w:r/>
    </w:p>
    <w:p>
      <w:pPr>
        <w:pStyle w:val="613"/>
        <w:ind w:left="426" w:right="141" w:firstLine="283"/>
        <w:jc w:val="left"/>
        <w:spacing w:after="0" w:line="360" w:lineRule="auto"/>
        <w:shd w:val="clear" w:color="auto" w:fill="auto"/>
        <w:tabs>
          <w:tab w:val="left" w:pos="869" w:leader="none"/>
        </w:tabs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Назначенный срок службы светильника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 со дня выпуска предприятием изготовителем при соблюдении потребителем правил </w:t>
      </w:r>
      <w:r/>
    </w:p>
    <w:p>
      <w:pPr>
        <w:ind w:firstLine="709"/>
        <w:spacing w:line="276" w:lineRule="auto"/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хранения, транспортирования и эксплуатации.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Гарантийный срок экспл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уатации светильника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</w:t>
      </w:r>
      <w:r/>
    </w:p>
    <w:p>
      <w:pPr>
        <w:ind w:left="426" w:right="141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продажи покупателю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 отсутствии отметки о продаже срок гарантии исчисляется со дня выпуска изделия, который указан в настоящем паспорте.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ремонта светильника в период гарантийного срока треб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  <w:r/>
    </w:p>
    <w:p>
      <w:pPr>
        <w:ind w:left="426" w:right="141" w:firstLine="28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Гарантийному ремонту подлежат изделия, не имеющие механических повреждений или следов разборки.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5.8</w:t>
      </w:r>
      <w:r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z w:val="28"/>
          <w:szCs w:val="28"/>
          <w:lang w:val="ru-RU"/>
        </w:rPr>
        <w:t xml:space="preserve"> гарантийного срока – согласно приведенным в </w:t>
      </w:r>
      <w:r>
        <w:rPr>
          <w:rFonts w:ascii="Times New Roman" w:hAnsi="Times New Roman"/>
          <w:sz w:val="28"/>
          <w:szCs w:val="28"/>
          <w:lang w:val="ru-RU"/>
        </w:rPr>
        <w:t xml:space="preserve">ГОСТ 34819-2021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ind w:left="426" w:right="141" w:firstLine="28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транспортировки и хранения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 Условия транспортирования светильников в части воздействия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механических факторов по группе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ГОСТ 23216-78 в том числе в части воздействия климатических факторов-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группе условий хранения                     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 15150-69.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Условия хранения светильников по группе условий 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15150-69 на срок хранения 1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Изделия в упаковке допускают </w:t>
      </w:r>
      <w:r/>
    </w:p>
    <w:p>
      <w:pPr>
        <w:ind w:firstLine="709"/>
        <w:spacing w:line="276" w:lineRule="auto"/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 Подготовка к работе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роизвести монтаж светильника на назначенное место.</w:t>
      </w:r>
      <w:r/>
    </w:p>
    <w:p>
      <w:pPr>
        <w:ind w:left="426" w:right="141" w:firstLine="283"/>
        <w:jc w:val="both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роизвести подключение питающего проводника согласно маркировки.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бедиться в работоспособности светильника.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 Обслуживание светильников</w:t>
      </w:r>
      <w:r/>
    </w:p>
    <w:p>
      <w:pPr>
        <w:ind w:left="426" w:right="141" w:firstLine="283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тключить светильник.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(зависит от степени загрязнения) удалит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более подробной информации следует обратиться на электронную почту завода – изготовителя.</w:t>
      </w:r>
      <w:r/>
    </w:p>
    <w:p>
      <w:pPr>
        <w:ind w:right="141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Указание мер безопасности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Монтаж и обслуживание светильников необходимо проводить при </w:t>
      </w:r>
      <w:bookmarkStart w:id="0" w:name="_GoBack"/>
      <w:r/>
      <w:bookmarkEnd w:id="0"/>
      <w:r/>
      <w:r/>
    </w:p>
    <w:p>
      <w:pPr>
        <w:ind w:firstLine="709"/>
        <w:spacing w:line="276" w:lineRule="auto"/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отключенной электрической сети.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Включение светильников в электрическую сеть с параметрами, отличающимися от указанных в разделе 2 настоящего паспорта, запрещается.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9.4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апрещается самостоятельно ремонтировать светильник.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9.5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Монтаж светильника должны производить лица, имеющие разрешение на данный тип работ.</w:t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збегать прямого попадания света в глаза.</w:t>
      </w:r>
      <w:r/>
    </w:p>
    <w:p>
      <w:pPr>
        <w:ind w:left="426" w:right="141" w:firstLine="283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ind w:left="426" w:right="141" w:firstLine="283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Сведения об утилизации</w:t>
      </w:r>
      <w:r/>
    </w:p>
    <w:p>
      <w:pPr>
        <w:ind w:left="426" w:right="141" w:firstLine="28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426" w:right="141" w:firstLine="283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  <w:r/>
    </w:p>
    <w:p>
      <w:pPr>
        <w:ind w:firstLine="709"/>
        <w:spacing w:line="276" w:lineRule="auto"/>
        <w:widowControl/>
        <w:rPr>
          <w:rFonts w:ascii="Times New Roman" w:hAnsi="Times New Roman" w:cs="Times New Roman" w:eastAsiaTheme="majorEastAsia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 w:clear="all"/>
      </w:r>
      <w:r/>
    </w:p>
    <w:p>
      <w:pPr>
        <w:ind w:left="426" w:firstLine="283"/>
        <w:rPr>
          <w:lang w:val="ru-RU"/>
        </w:rPr>
      </w:pPr>
      <w:r>
        <w:rPr>
          <w:lang w:val="ru-RU"/>
        </w:rPr>
      </w:r>
      <w:r/>
    </w:p>
    <w:p>
      <w:pPr>
        <w:pStyle w:val="600"/>
        <w:ind w:left="426" w:right="141" w:firstLine="283"/>
        <w:spacing w:before="2" w:line="360" w:lineRule="auto"/>
        <w:tabs>
          <w:tab w:val="left" w:pos="2379" w:leader="none"/>
        </w:tabs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11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Свидетельство о</w:t>
      </w:r>
      <w:r>
        <w:rPr>
          <w:rFonts w:ascii="Times New Roman" w:hAnsi="Times New Roman" w:cs="Times New Roman"/>
          <w:b w:val="0"/>
          <w:color w:val="auto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приемке: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ind w:left="567" w:right="14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Светильник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П12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/>
    </w:p>
    <w:p>
      <w:pPr>
        <w:ind w:left="567" w:right="142" w:firstLine="425"/>
        <w:spacing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маркирока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светильника)</w:t>
      </w:r>
      <w:r/>
    </w:p>
    <w:p>
      <w:pPr>
        <w:ind w:right="14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техническим условиям ТУ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2014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ДБИШ.676112.001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годным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эксплуатации.</w:t>
      </w:r>
      <w:r/>
    </w:p>
    <w:p>
      <w:pPr>
        <w:ind w:left="567" w:right="141" w:firstLine="426"/>
        <w:jc w:val="center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Штамп ОТК:_________________________</w:t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выпуска________________________ </w:t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продажи________________ 20_____г.</w:t>
      </w:r>
      <w:r/>
    </w:p>
    <w:p>
      <w:pPr>
        <w:ind w:firstLine="709"/>
        <w:spacing w:line="276" w:lineRule="auto"/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/>
    </w:p>
    <w:p>
      <w:pPr>
        <w:jc w:val="center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(справочное)</w:t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jc w:val="center"/>
        <w:spacing w:line="360" w:lineRule="auto"/>
        <w:rPr>
          <w:lang w:val="ru-RU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87320" cy="3641725"/>
                <wp:effectExtent l="0" t="0" r="0" b="0"/>
                <wp:docPr id="6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687320" cy="364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11.6pt;height:286.8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left="567" w:right="141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851" w:right="567" w:bottom="851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4"/>
        <w:lang w:val="ru-RU" w:bidi="ar-SA" w:eastAsia="en-US"/>
      </w:rPr>
    </w:rPrDefault>
    <w:pPrDefault>
      <w:pPr>
        <w:ind w:left="0" w:right="0" w:firstLine="709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1"/>
    <w:qFormat/>
    <w:pPr>
      <w:ind w:firstLine="0"/>
      <w:spacing w:line="240" w:lineRule="auto"/>
      <w:widowControl w:val="off"/>
    </w:pPr>
    <w:rPr>
      <w:rFonts w:asciiTheme="minorHAnsi" w:hAnsiTheme="minorHAnsi" w:cstheme="minorBidi"/>
      <w:sz w:val="22"/>
      <w:szCs w:val="22"/>
      <w:lang w:val="en-US"/>
    </w:rPr>
  </w:style>
  <w:style w:type="paragraph" w:styleId="599">
    <w:name w:val="Heading 1"/>
    <w:basedOn w:val="598"/>
    <w:link w:val="604"/>
    <w:uiPriority w:val="1"/>
    <w:qFormat/>
    <w:pPr>
      <w:ind w:left="1981"/>
      <w:outlineLvl w:val="0"/>
    </w:pPr>
    <w:rPr>
      <w:rFonts w:ascii="Arial" w:hAnsi="Arial" w:eastAsia="Arial"/>
      <w:b/>
      <w:bCs/>
      <w:sz w:val="24"/>
      <w:szCs w:val="24"/>
    </w:rPr>
  </w:style>
  <w:style w:type="paragraph" w:styleId="600">
    <w:name w:val="Heading 2"/>
    <w:basedOn w:val="598"/>
    <w:next w:val="598"/>
    <w:link w:val="61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1"/>
    <w:rPr>
      <w:rFonts w:ascii="Arial" w:hAnsi="Arial" w:eastAsia="Arial" w:cstheme="minorBidi"/>
      <w:b/>
      <w:bCs/>
      <w:lang w:val="en-US"/>
    </w:rPr>
  </w:style>
  <w:style w:type="table" w:styleId="605">
    <w:name w:val="Table Grid"/>
    <w:basedOn w:val="602"/>
    <w:uiPriority w:val="39"/>
    <w:pPr>
      <w:ind w:firstLine="0"/>
      <w:spacing w:line="240" w:lineRule="auto"/>
      <w:widowControl w:val="off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6">
    <w:name w:val="Hyperlink"/>
    <w:basedOn w:val="601"/>
    <w:uiPriority w:val="99"/>
    <w:unhideWhenUsed/>
    <w:rPr>
      <w:color w:val="0000FF" w:themeColor="hyperlink"/>
      <w:u w:val="single"/>
    </w:rPr>
  </w:style>
  <w:style w:type="paragraph" w:styleId="607">
    <w:name w:val="Body Text"/>
    <w:basedOn w:val="598"/>
    <w:link w:val="608"/>
    <w:uiPriority w:val="1"/>
    <w:qFormat/>
    <w:pPr>
      <w:ind w:left="814" w:hanging="425"/>
    </w:pPr>
    <w:rPr>
      <w:rFonts w:ascii="Arial" w:hAnsi="Arial" w:eastAsia="Arial"/>
      <w:sz w:val="18"/>
      <w:szCs w:val="18"/>
    </w:rPr>
  </w:style>
  <w:style w:type="character" w:styleId="608" w:customStyle="1">
    <w:name w:val="Основной текст Знак"/>
    <w:basedOn w:val="601"/>
    <w:link w:val="607"/>
    <w:uiPriority w:val="1"/>
    <w:rPr>
      <w:rFonts w:ascii="Arial" w:hAnsi="Arial" w:eastAsia="Arial" w:cstheme="minorBidi"/>
      <w:sz w:val="18"/>
      <w:szCs w:val="18"/>
      <w:lang w:val="en-US"/>
    </w:rPr>
  </w:style>
  <w:style w:type="paragraph" w:styleId="609">
    <w:name w:val="List Paragraph"/>
    <w:basedOn w:val="598"/>
    <w:uiPriority w:val="1"/>
    <w:qFormat/>
  </w:style>
  <w:style w:type="paragraph" w:styleId="610">
    <w:name w:val="Balloon Text"/>
    <w:basedOn w:val="598"/>
    <w:link w:val="611"/>
    <w:uiPriority w:val="99"/>
    <w:semiHidden/>
    <w:unhideWhenUsed/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601"/>
    <w:link w:val="610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612" w:customStyle="1">
    <w:name w:val="Основной текст (2)_"/>
    <w:link w:val="613"/>
    <w:uiPriority w:val="99"/>
    <w:qFormat/>
    <w:rPr>
      <w:rFonts w:ascii="Arial" w:hAnsi="Arial"/>
      <w:sz w:val="16"/>
      <w:szCs w:val="16"/>
      <w:shd w:val="clear" w:color="auto" w:fill="ffffff"/>
    </w:rPr>
  </w:style>
  <w:style w:type="paragraph" w:styleId="613" w:customStyle="1">
    <w:name w:val="Основной текст (2)1"/>
    <w:basedOn w:val="598"/>
    <w:link w:val="612"/>
    <w:uiPriority w:val="99"/>
    <w:qFormat/>
    <w:pPr>
      <w:ind w:hanging="120"/>
      <w:jc w:val="both"/>
      <w:spacing w:after="60" w:line="235" w:lineRule="exact"/>
      <w:shd w:val="clear" w:color="auto" w:fill="ffffff"/>
    </w:pPr>
    <w:rPr>
      <w:rFonts w:ascii="Arial" w:hAnsi="Arial" w:cs="Times New Roman"/>
      <w:sz w:val="16"/>
      <w:szCs w:val="16"/>
      <w:lang w:val="ru-RU"/>
    </w:rPr>
  </w:style>
  <w:style w:type="character" w:styleId="614" w:customStyle="1">
    <w:name w:val="Заголовок 2 Знак"/>
    <w:basedOn w:val="601"/>
    <w:link w:val="60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styleId="615" w:customStyle="1">
    <w:name w:val="Содержимое врезки"/>
    <w:basedOn w:val="598"/>
    <w:qFormat/>
    <w:rPr>
      <w:rFonts w:eastAsia="Calibri"/>
      <w:color w:val="00000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hyperlink" Target="mailto:info@ashasvet.ru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6764809-FB7D-4160-9BF8-0A30665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Ольга Воронцова</cp:lastModifiedBy>
  <cp:revision>43</cp:revision>
  <dcterms:created xsi:type="dcterms:W3CDTF">2021-01-18T12:00:00Z</dcterms:created>
  <dcterms:modified xsi:type="dcterms:W3CDTF">2023-06-08T07:37:40Z</dcterms:modified>
</cp:coreProperties>
</file>